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9B18E" w14:textId="720E6C68" w:rsidR="00E3746B" w:rsidRPr="00B266B0" w:rsidRDefault="00E3746B" w:rsidP="00E3746B">
      <w:pPr>
        <w:pStyle w:val="Header"/>
        <w:tabs>
          <w:tab w:val="right" w:pos="9639"/>
        </w:tabs>
        <w:rPr>
          <w:bCs/>
          <w:i/>
          <w:noProof w:val="0"/>
          <w:sz w:val="24"/>
          <w:szCs w:val="24"/>
        </w:rPr>
      </w:pPr>
      <w:r w:rsidRPr="00747164">
        <w:rPr>
          <w:bCs/>
          <w:noProof w:val="0"/>
          <w:sz w:val="24"/>
          <w:szCs w:val="24"/>
        </w:rPr>
        <w:t>3GPP TSG-RAN WG2 Meeting #121-bis electronic</w:t>
      </w:r>
      <w:r w:rsidRPr="00B266B0">
        <w:rPr>
          <w:bCs/>
          <w:noProof w:val="0"/>
          <w:sz w:val="24"/>
          <w:szCs w:val="24"/>
        </w:rPr>
        <w:tab/>
      </w:r>
      <w:r w:rsidR="00D80322" w:rsidRPr="00D80322">
        <w:rPr>
          <w:bCs/>
          <w:noProof w:val="0"/>
          <w:sz w:val="24"/>
          <w:szCs w:val="24"/>
        </w:rPr>
        <w:t>R2-2302803</w:t>
      </w:r>
    </w:p>
    <w:p w14:paraId="11776FA6" w14:textId="538D697B" w:rsidR="00A209D6" w:rsidRPr="00465587" w:rsidRDefault="00E3746B" w:rsidP="00E3746B">
      <w:pPr>
        <w:pStyle w:val="Header"/>
        <w:tabs>
          <w:tab w:val="right" w:pos="9639"/>
        </w:tabs>
        <w:rPr>
          <w:rFonts w:eastAsia="SimSun"/>
          <w:bCs/>
          <w:sz w:val="24"/>
          <w:szCs w:val="24"/>
          <w:lang w:eastAsia="zh-CN"/>
        </w:rPr>
      </w:pPr>
      <w:r w:rsidRPr="00747164">
        <w:rPr>
          <w:rFonts w:eastAsia="SimSun"/>
          <w:bCs/>
          <w:sz w:val="24"/>
          <w:szCs w:val="24"/>
          <w:lang w:eastAsia="zh-CN"/>
        </w:rPr>
        <w:t>April 17-26, 2023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809397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51EFC">
        <w:rPr>
          <w:rFonts w:cs="Arial"/>
          <w:b/>
          <w:bCs/>
          <w:sz w:val="24"/>
          <w:lang w:eastAsia="ja-JP"/>
        </w:rPr>
        <w:t>7</w:t>
      </w:r>
      <w:r w:rsidR="000515F0">
        <w:rPr>
          <w:rFonts w:cs="Arial"/>
          <w:b/>
          <w:bCs/>
          <w:sz w:val="24"/>
          <w:lang w:eastAsia="ja-JP"/>
        </w:rPr>
        <w:t>.19.</w:t>
      </w:r>
      <w:r w:rsidR="003C2966">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A38EE5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15F0">
        <w:rPr>
          <w:rFonts w:ascii="Arial" w:hAnsi="Arial" w:cs="Arial"/>
          <w:b/>
          <w:bCs/>
          <w:sz w:val="24"/>
        </w:rPr>
        <w:t xml:space="preserve">On </w:t>
      </w:r>
      <w:r w:rsidR="0065159C">
        <w:rPr>
          <w:rFonts w:ascii="Arial" w:hAnsi="Arial" w:cs="Arial"/>
          <w:b/>
          <w:bCs/>
          <w:sz w:val="24"/>
        </w:rPr>
        <w:t>eDRX</w:t>
      </w:r>
      <w:r w:rsidR="000515F0">
        <w:rPr>
          <w:rFonts w:ascii="Arial" w:hAnsi="Arial" w:cs="Arial"/>
          <w:b/>
          <w:bCs/>
          <w:sz w:val="24"/>
        </w:rPr>
        <w:t xml:space="preserve"> for enhanced RedCap</w:t>
      </w:r>
    </w:p>
    <w:p w14:paraId="25F387E8" w14:textId="18C8F23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515F0" w:rsidRPr="000515F0">
        <w:rPr>
          <w:rFonts w:ascii="Arial" w:hAnsi="Arial" w:cs="Arial"/>
          <w:b/>
          <w:bCs/>
          <w:sz w:val="24"/>
        </w:rPr>
        <w:t xml:space="preserve">NR_redcap_enh-Core </w:t>
      </w:r>
      <w:r>
        <w:rPr>
          <w:rFonts w:ascii="Arial" w:hAnsi="Arial" w:cs="Arial"/>
          <w:b/>
          <w:bCs/>
          <w:sz w:val="24"/>
        </w:rPr>
        <w:t xml:space="preserve">- Release </w:t>
      </w:r>
      <w:r w:rsidR="000515F0">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875B531" w14:textId="1E97DD92" w:rsidR="00E02BF1" w:rsidRDefault="000515F0" w:rsidP="005D27DE">
      <w:pPr>
        <w:rPr>
          <w:rFonts w:eastAsia="MS Mincho"/>
          <w:lang w:val="en-US" w:eastAsia="ja-JP"/>
        </w:rPr>
      </w:pPr>
      <w:r>
        <w:rPr>
          <w:lang w:val="en-US"/>
        </w:rPr>
        <w:t>T</w:t>
      </w:r>
      <w:r w:rsidRPr="00484243">
        <w:rPr>
          <w:lang w:val="en-US"/>
        </w:rPr>
        <w:t>he work item on enhanced support of reduced capability NR devices</w:t>
      </w:r>
      <w:r>
        <w:rPr>
          <w:lang w:val="en-US"/>
        </w:rPr>
        <w:t xml:space="preserve"> was approved in </w:t>
      </w:r>
      <w:hyperlink r:id="rId13" w:history="1">
        <w:r w:rsidRPr="000515F0">
          <w:rPr>
            <w:rStyle w:val="Hyperlink"/>
            <w:rFonts w:eastAsia="MS Mincho"/>
            <w:lang w:val="en-US" w:eastAsia="ja-JP"/>
          </w:rPr>
          <w:t>RP-223544</w:t>
        </w:r>
      </w:hyperlink>
      <w:r w:rsidR="005D27DE">
        <w:rPr>
          <w:rStyle w:val="Hyperlink"/>
          <w:rFonts w:eastAsia="MS Mincho"/>
          <w:lang w:val="en-US" w:eastAsia="ja-JP"/>
        </w:rPr>
        <w:t xml:space="preserve"> </w:t>
      </w:r>
      <w:r w:rsidR="005D27DE">
        <w:rPr>
          <w:lang w:val="en-US"/>
        </w:rPr>
        <w:t>with the following objectives for eDRX in INACTIVE</w:t>
      </w:r>
      <w:r w:rsidR="005D27DE">
        <w:rPr>
          <w:rFonts w:eastAsia="MS Mincho"/>
          <w:lang w:val="en-US" w:eastAsia="ja-JP"/>
        </w:rPr>
        <w:t>:</w:t>
      </w:r>
    </w:p>
    <w:p w14:paraId="493C852C" w14:textId="77777777" w:rsidR="005D27DE" w:rsidRPr="00717947" w:rsidRDefault="005D27DE" w:rsidP="005D27DE">
      <w:pPr>
        <w:ind w:right="-99"/>
        <w:rPr>
          <w:b/>
          <w:bCs/>
          <w:lang w:eastAsia="ja-JP"/>
        </w:rPr>
      </w:pPr>
      <w:r w:rsidRPr="00717947">
        <w:rPr>
          <w:b/>
          <w:bCs/>
          <w:lang w:eastAsia="ja-JP"/>
        </w:rPr>
        <w:t>Power saving/energy efficiency enhancements</w:t>
      </w:r>
    </w:p>
    <w:p w14:paraId="31CDC24D" w14:textId="77777777" w:rsidR="005D27DE" w:rsidRPr="00717947" w:rsidRDefault="005D27DE" w:rsidP="005D27DE">
      <w:pPr>
        <w:numPr>
          <w:ilvl w:val="0"/>
          <w:numId w:val="12"/>
        </w:numPr>
        <w:overflowPunct w:val="0"/>
        <w:autoSpaceDE w:val="0"/>
        <w:autoSpaceDN w:val="0"/>
        <w:adjustRightInd w:val="0"/>
        <w:ind w:right="-99"/>
        <w:textAlignment w:val="baseline"/>
        <w:rPr>
          <w:lang w:eastAsia="ja-JP"/>
        </w:rPr>
      </w:pPr>
      <w:r w:rsidRPr="00717947">
        <w:rPr>
          <w:lang w:eastAsia="ja-JP"/>
        </w:rPr>
        <w:t xml:space="preserve">Enhanced </w:t>
      </w:r>
      <w:r>
        <w:rPr>
          <w:lang w:eastAsia="ja-JP"/>
        </w:rPr>
        <w:t>e</w:t>
      </w:r>
      <w:r w:rsidRPr="00717947">
        <w:rPr>
          <w:lang w:eastAsia="ja-JP"/>
        </w:rPr>
        <w:t>DRX in RRC_INACTIVE (&gt;10.24s) [RAN2, RAN3, RAN4]</w:t>
      </w:r>
    </w:p>
    <w:p w14:paraId="3DA3E23C" w14:textId="77777777" w:rsidR="005D27DE" w:rsidRPr="00FC392D" w:rsidRDefault="005D27DE" w:rsidP="005D27DE">
      <w:pPr>
        <w:numPr>
          <w:ilvl w:val="1"/>
          <w:numId w:val="12"/>
        </w:numPr>
        <w:overflowPunct w:val="0"/>
        <w:autoSpaceDE w:val="0"/>
        <w:autoSpaceDN w:val="0"/>
        <w:adjustRightInd w:val="0"/>
        <w:ind w:right="-99"/>
        <w:textAlignment w:val="baseline"/>
        <w:rPr>
          <w:lang w:eastAsia="ja-JP"/>
        </w:rPr>
      </w:pPr>
      <w:r w:rsidRPr="00FC392D">
        <w:rPr>
          <w:rFonts w:hint="eastAsia"/>
          <w:lang w:eastAsia="ja-JP"/>
        </w:rPr>
        <w:t>Note that this objective requires SA2</w:t>
      </w:r>
      <w:r>
        <w:rPr>
          <w:lang w:eastAsia="ja-JP"/>
        </w:rPr>
        <w:t xml:space="preserve">, </w:t>
      </w:r>
      <w:r w:rsidRPr="00FC392D">
        <w:rPr>
          <w:rFonts w:hint="eastAsia"/>
          <w:lang w:eastAsia="ja-JP"/>
        </w:rPr>
        <w:t>CT1</w:t>
      </w:r>
      <w:r>
        <w:rPr>
          <w:lang w:eastAsia="ja-JP"/>
        </w:rPr>
        <w:t xml:space="preserve"> and CT4 </w:t>
      </w:r>
      <w:r w:rsidRPr="00FC392D">
        <w:rPr>
          <w:rFonts w:hint="eastAsia"/>
          <w:lang w:eastAsia="ja-JP"/>
        </w:rPr>
        <w:t>involvement</w:t>
      </w:r>
    </w:p>
    <w:p w14:paraId="03AA9C86" w14:textId="6CAC7B06" w:rsidR="00234E61" w:rsidRDefault="00234E61" w:rsidP="009339CB">
      <w:pPr>
        <w:rPr>
          <w:lang w:eastAsia="ja-JP"/>
        </w:rPr>
      </w:pPr>
      <w:r>
        <w:rPr>
          <w:lang w:eastAsia="ja-JP"/>
        </w:rPr>
        <w:t>The following was agreed in RAN2#121 meeting:</w:t>
      </w:r>
    </w:p>
    <w:tbl>
      <w:tblPr>
        <w:tblStyle w:val="TableGrid"/>
        <w:tblW w:w="0" w:type="auto"/>
        <w:tblLook w:val="04A0" w:firstRow="1" w:lastRow="0" w:firstColumn="1" w:lastColumn="0" w:noHBand="0" w:noVBand="1"/>
      </w:tblPr>
      <w:tblGrid>
        <w:gridCol w:w="9631"/>
      </w:tblGrid>
      <w:tr w:rsidR="00234E61" w14:paraId="456275B3" w14:textId="77777777" w:rsidTr="00234E61">
        <w:tc>
          <w:tcPr>
            <w:tcW w:w="9631" w:type="dxa"/>
          </w:tcPr>
          <w:p w14:paraId="4435112A" w14:textId="77777777" w:rsidR="00234E61" w:rsidRPr="00B77740" w:rsidRDefault="00234E61" w:rsidP="00234E61">
            <w:pPr>
              <w:pStyle w:val="Agreement"/>
              <w:tabs>
                <w:tab w:val="clear" w:pos="9990"/>
              </w:tabs>
              <w:overflowPunct/>
              <w:autoSpaceDE/>
              <w:autoSpaceDN/>
              <w:adjustRightInd/>
              <w:ind w:left="1619" w:hanging="360"/>
              <w:textAlignment w:val="auto"/>
            </w:pPr>
            <w:r w:rsidRPr="00B77740">
              <w:t>The formula of PH/PTW for IDLE eDRX can be reused for enhanced INACTIVE eDRX, for eDRX cycles longer than 10.24s.</w:t>
            </w:r>
          </w:p>
          <w:p w14:paraId="4B96503F" w14:textId="77777777" w:rsidR="00234E61" w:rsidRPr="00B77740" w:rsidRDefault="00234E61" w:rsidP="00234E61">
            <w:pPr>
              <w:pStyle w:val="Doc-text2"/>
              <w:ind w:left="0" w:firstLine="0"/>
            </w:pPr>
          </w:p>
          <w:p w14:paraId="60916178" w14:textId="77777777" w:rsidR="00234E61" w:rsidRPr="00B77740" w:rsidRDefault="00234E61" w:rsidP="00234E61">
            <w:pPr>
              <w:pStyle w:val="Agreement"/>
              <w:tabs>
                <w:tab w:val="clear" w:pos="9990"/>
              </w:tabs>
              <w:overflowPunct/>
              <w:autoSpaceDE/>
              <w:autoSpaceDN/>
              <w:adjustRightInd/>
              <w:ind w:left="1619" w:hanging="360"/>
              <w:textAlignment w:val="auto"/>
            </w:pPr>
            <w:r w:rsidRPr="00B77740">
              <w:t xml:space="preserve">RAN2 confirms the R17 agreements made at RAN2#114 for enhanced INACTIVE eDRX: </w:t>
            </w:r>
          </w:p>
          <w:p w14:paraId="4455179A" w14:textId="77777777" w:rsidR="00234E61" w:rsidRPr="00B77740" w:rsidRDefault="00234E61" w:rsidP="00234E61">
            <w:pPr>
              <w:pStyle w:val="Agreement"/>
              <w:numPr>
                <w:ilvl w:val="0"/>
                <w:numId w:val="0"/>
              </w:numPr>
              <w:ind w:left="1619"/>
            </w:pPr>
            <w:r w:rsidRPr="00B77740">
              <w:t>-</w:t>
            </w:r>
            <w:r w:rsidRPr="00B77740">
              <w:tab/>
              <w:t>It is up to RAN to configure the length for PTW for RAN paging, the RAN PTW length can be different from the CN PTW length.</w:t>
            </w:r>
          </w:p>
          <w:p w14:paraId="0F775513" w14:textId="77777777" w:rsidR="00234E61" w:rsidRPr="00B77740" w:rsidRDefault="00234E61" w:rsidP="00234E61">
            <w:pPr>
              <w:pStyle w:val="Agreement"/>
              <w:numPr>
                <w:ilvl w:val="0"/>
                <w:numId w:val="0"/>
              </w:numPr>
              <w:ind w:left="1619"/>
            </w:pPr>
            <w:r w:rsidRPr="00B77740">
              <w:t>-</w:t>
            </w:r>
            <w:r w:rsidRPr="00B77740">
              <w:tab/>
              <w:t>When RAN and CN paging coincide in the same PH, the actually used PTW starting location is the same for RAN and CN paging. FFS how to calculate the PTW starting location so that it is the same for RAN and CN PTW.</w:t>
            </w:r>
          </w:p>
          <w:p w14:paraId="7007837B" w14:textId="77777777" w:rsidR="00234E61" w:rsidRPr="00B77740" w:rsidRDefault="00234E61" w:rsidP="00234E61">
            <w:pPr>
              <w:pStyle w:val="Agreement"/>
              <w:tabs>
                <w:tab w:val="clear" w:pos="9990"/>
              </w:tabs>
              <w:overflowPunct/>
              <w:autoSpaceDE/>
              <w:autoSpaceDN/>
              <w:adjustRightInd/>
              <w:ind w:left="1619" w:hanging="360"/>
              <w:textAlignment w:val="auto"/>
            </w:pPr>
            <w:r w:rsidRPr="00B77740">
              <w:t>PTW length value range of enhanced INACTIVE eDRX is same as IDLE eDRX, i.e. from 1.28s to 40.96s in the step of 1.28s.</w:t>
            </w:r>
          </w:p>
          <w:p w14:paraId="6B4BEDC2" w14:textId="77777777" w:rsidR="00234E61" w:rsidRPr="00B77740" w:rsidRDefault="00234E61" w:rsidP="00234E61">
            <w:pPr>
              <w:pStyle w:val="Agreement"/>
              <w:tabs>
                <w:tab w:val="clear" w:pos="9990"/>
              </w:tabs>
              <w:overflowPunct/>
              <w:autoSpaceDE/>
              <w:autoSpaceDN/>
              <w:adjustRightInd/>
              <w:ind w:left="1619" w:hanging="360"/>
              <w:textAlignment w:val="auto"/>
            </w:pPr>
            <w:r w:rsidRPr="00B77740">
              <w:t>Long eDRX cycle (&gt;10.24 s) value range of enhanced INACTIVE eDRX is same as IDLE eDRX from 20.48s to 10485.76s, i.e. hf2, hf4, hf8, hf16, hf32, hf64, hf128, hf256, hf512, hf1024</w:t>
            </w:r>
          </w:p>
          <w:p w14:paraId="5AED10DA" w14:textId="77777777" w:rsidR="00234E61" w:rsidRPr="00B77740" w:rsidRDefault="00234E61" w:rsidP="00234E61">
            <w:pPr>
              <w:pStyle w:val="Agreement"/>
              <w:tabs>
                <w:tab w:val="clear" w:pos="9990"/>
              </w:tabs>
              <w:overflowPunct/>
              <w:autoSpaceDE/>
              <w:autoSpaceDN/>
              <w:adjustRightInd/>
              <w:ind w:left="1619" w:hanging="360"/>
              <w:textAlignment w:val="auto"/>
              <w:rPr>
                <w:bCs/>
              </w:rPr>
            </w:pPr>
            <w:r w:rsidRPr="00B77740">
              <w:t>Add the configuration of eDRX cycle (&gt;10.24 s) and PTW length for enhanced INACTIVE eDRX in the RRCRelease message</w:t>
            </w:r>
          </w:p>
          <w:p w14:paraId="2E55BDC5" w14:textId="77777777" w:rsidR="00234E61" w:rsidRPr="00B77740" w:rsidRDefault="00234E61" w:rsidP="00234E61">
            <w:pPr>
              <w:pStyle w:val="Agreement"/>
              <w:tabs>
                <w:tab w:val="clear" w:pos="9990"/>
              </w:tabs>
              <w:overflowPunct/>
              <w:autoSpaceDE/>
              <w:autoSpaceDN/>
              <w:adjustRightInd/>
              <w:ind w:left="1619" w:hanging="360"/>
              <w:textAlignment w:val="auto"/>
            </w:pPr>
            <w:r w:rsidRPr="00B77740">
              <w:t>Introduce 1 bit indication in SIB1 whether UEs are allowed to use the enhanced INACTIVE eDRX cycle.</w:t>
            </w:r>
          </w:p>
          <w:p w14:paraId="2A5E021D" w14:textId="77777777" w:rsidR="00234E61" w:rsidRPr="00B77740" w:rsidRDefault="00234E61" w:rsidP="00234E61">
            <w:pPr>
              <w:pStyle w:val="Agreement"/>
              <w:tabs>
                <w:tab w:val="clear" w:pos="9990"/>
              </w:tabs>
              <w:overflowPunct/>
              <w:autoSpaceDE/>
              <w:autoSpaceDN/>
              <w:adjustRightInd/>
              <w:ind w:left="1619" w:hanging="360"/>
              <w:textAlignment w:val="auto"/>
            </w:pPr>
            <w:r w:rsidRPr="00B77740">
              <w:t>FFS if/how to fallback for a UE which is configured with R18 eDRX but the gNB doesn’t indicate support for this.</w:t>
            </w:r>
          </w:p>
          <w:p w14:paraId="3705D1ED" w14:textId="77777777" w:rsidR="00234E61" w:rsidRPr="00B77740" w:rsidRDefault="00234E61" w:rsidP="00234E61">
            <w:pPr>
              <w:pStyle w:val="Agreement"/>
              <w:tabs>
                <w:tab w:val="clear" w:pos="9990"/>
              </w:tabs>
              <w:overflowPunct/>
              <w:autoSpaceDE/>
              <w:autoSpaceDN/>
              <w:adjustRightInd/>
              <w:ind w:left="1619" w:hanging="360"/>
              <w:textAlignment w:val="auto"/>
            </w:pPr>
            <w:r w:rsidRPr="00B77740">
              <w:t>RAN2 confirms the enhanced INACTIVE eDRX can be applied to all R18 UEs. FFS if it can only be supported by UEs which support R17 eDRX.</w:t>
            </w:r>
          </w:p>
          <w:p w14:paraId="2C048B58" w14:textId="77777777" w:rsidR="00234E61" w:rsidRDefault="00234E61" w:rsidP="009339CB">
            <w:pPr>
              <w:rPr>
                <w:lang w:eastAsia="ja-JP"/>
              </w:rPr>
            </w:pPr>
          </w:p>
        </w:tc>
      </w:tr>
    </w:tbl>
    <w:p w14:paraId="2FF89562" w14:textId="347549AF" w:rsidR="00234E61" w:rsidRDefault="00234E61" w:rsidP="009339CB">
      <w:pPr>
        <w:rPr>
          <w:lang w:eastAsia="ja-JP"/>
        </w:rPr>
      </w:pPr>
    </w:p>
    <w:p w14:paraId="027533AF" w14:textId="7B5F7E12" w:rsidR="00650A6E" w:rsidRDefault="00650A6E" w:rsidP="00650A6E">
      <w:pPr>
        <w:rPr>
          <w:lang w:eastAsia="ja-JP"/>
        </w:rPr>
      </w:pPr>
      <w:r>
        <w:rPr>
          <w:lang w:val="en-US"/>
        </w:rPr>
        <w:t xml:space="preserve">In this TDoc further details on </w:t>
      </w:r>
      <w:r>
        <w:rPr>
          <w:lang w:eastAsia="ja-JP"/>
        </w:rPr>
        <w:t>e</w:t>
      </w:r>
      <w:r w:rsidRPr="00717947">
        <w:rPr>
          <w:lang w:eastAsia="ja-JP"/>
        </w:rPr>
        <w:t>DRX in RRC_INACTIVE</w:t>
      </w:r>
      <w:r>
        <w:rPr>
          <w:lang w:eastAsia="ja-JP"/>
        </w:rPr>
        <w:t xml:space="preserve"> are discussed. </w:t>
      </w:r>
    </w:p>
    <w:p w14:paraId="212928DA" w14:textId="77777777" w:rsidR="00E51EFC" w:rsidRPr="00E51EFC" w:rsidRDefault="00E51EFC" w:rsidP="009339CB"/>
    <w:p w14:paraId="6AC8BAD7" w14:textId="77777777" w:rsidR="003C2966" w:rsidRDefault="003C2966" w:rsidP="009339CB">
      <w:pPr>
        <w:pStyle w:val="Heading1"/>
      </w:pPr>
    </w:p>
    <w:p w14:paraId="7D484B6E" w14:textId="65618F70" w:rsidR="009339CB" w:rsidRPr="006E13D1" w:rsidRDefault="009339CB" w:rsidP="009339CB">
      <w:pPr>
        <w:pStyle w:val="Heading1"/>
      </w:pPr>
      <w:r w:rsidRPr="006E13D1">
        <w:t>2</w:t>
      </w:r>
      <w:r w:rsidRPr="006E13D1">
        <w:tab/>
      </w:r>
      <w:r w:rsidR="00E02BF1">
        <w:t>Discussion</w:t>
      </w:r>
    </w:p>
    <w:p w14:paraId="5F3A9FC0" w14:textId="44682641" w:rsidR="003C2966" w:rsidRDefault="00375654" w:rsidP="0006415C">
      <w:r>
        <w:t xml:space="preserve">It was left open what is the UE behaviour when </w:t>
      </w:r>
      <w:r w:rsidRPr="00375654">
        <w:t>UE is configured with R18 eDRX</w:t>
      </w:r>
      <w:r>
        <w:t xml:space="preserve">, </w:t>
      </w:r>
      <w:r w:rsidRPr="00375654">
        <w:t xml:space="preserve">but the gNB doesn’t </w:t>
      </w:r>
      <w:r w:rsidR="00343A6C">
        <w:t xml:space="preserve">not allow </w:t>
      </w:r>
      <w:r w:rsidR="00343A6C" w:rsidRPr="00343A6C">
        <w:t>to use the enhanced INACTIVE eDRX cycle</w:t>
      </w:r>
      <w:r>
        <w:t>:</w:t>
      </w:r>
    </w:p>
    <w:p w14:paraId="0734A29F" w14:textId="77777777" w:rsidR="00D00043" w:rsidRPr="00B77740" w:rsidRDefault="00D00043" w:rsidP="00D00043">
      <w:pPr>
        <w:pStyle w:val="Agreement"/>
        <w:tabs>
          <w:tab w:val="clear" w:pos="9990"/>
        </w:tabs>
        <w:overflowPunct/>
        <w:autoSpaceDE/>
        <w:autoSpaceDN/>
        <w:adjustRightInd/>
        <w:ind w:left="1619" w:hanging="360"/>
        <w:textAlignment w:val="auto"/>
      </w:pPr>
      <w:r w:rsidRPr="00B77740">
        <w:t>FFS if/how to fallback for a UE which is configured with R18 eDRX but the gNB doesn’t indicate support for this.</w:t>
      </w:r>
    </w:p>
    <w:p w14:paraId="453C0EFF" w14:textId="77777777" w:rsidR="00343A6C" w:rsidRDefault="00343A6C" w:rsidP="009339CB"/>
    <w:p w14:paraId="6C6D0240" w14:textId="7F329349" w:rsidR="005362F8" w:rsidRDefault="005362F8" w:rsidP="009339CB">
      <w:r>
        <w:t xml:space="preserve">It was also agreed that NW can allow the UE to </w:t>
      </w:r>
      <w:r w:rsidRPr="005362F8">
        <w:t>use the enhanced INACTIVE eDRX cycle</w:t>
      </w:r>
      <w:r>
        <w:t>:</w:t>
      </w:r>
    </w:p>
    <w:p w14:paraId="6B7E8AC0" w14:textId="77777777" w:rsidR="005362F8" w:rsidRPr="00B77740" w:rsidRDefault="005362F8" w:rsidP="005362F8">
      <w:pPr>
        <w:pStyle w:val="Agreement"/>
        <w:tabs>
          <w:tab w:val="clear" w:pos="9990"/>
        </w:tabs>
        <w:overflowPunct/>
        <w:autoSpaceDE/>
        <w:autoSpaceDN/>
        <w:adjustRightInd/>
        <w:ind w:left="1619" w:hanging="360"/>
        <w:textAlignment w:val="auto"/>
      </w:pPr>
      <w:r w:rsidRPr="00B77740">
        <w:t>Introduce 1 bit indication in SIB1 whether UEs are allowed to use the enhanced INACTIVE eDRX cycle.</w:t>
      </w:r>
    </w:p>
    <w:p w14:paraId="459DB40F" w14:textId="77777777" w:rsidR="005362F8" w:rsidRDefault="005362F8" w:rsidP="009339CB"/>
    <w:p w14:paraId="55460C8B" w14:textId="4CDC971B" w:rsidR="003C2966" w:rsidRDefault="00343A6C" w:rsidP="009339CB">
      <w:r>
        <w:t xml:space="preserve">In Rel-17 </w:t>
      </w:r>
      <w:r w:rsidRPr="00343A6C">
        <w:rPr>
          <w:i/>
          <w:iCs/>
        </w:rPr>
        <w:t>eDRX-AllowedIdle</w:t>
      </w:r>
      <w:r>
        <w:rPr>
          <w:i/>
          <w:iCs/>
        </w:rPr>
        <w:t xml:space="preserve"> </w:t>
      </w:r>
      <w:r w:rsidRPr="00343A6C">
        <w:t>and</w:t>
      </w:r>
      <w:r>
        <w:t xml:space="preserve"> </w:t>
      </w:r>
      <w:r w:rsidRPr="00343A6C">
        <w:rPr>
          <w:i/>
          <w:iCs/>
        </w:rPr>
        <w:t>eDRX-AllowedInactive</w:t>
      </w:r>
      <w:r>
        <w:rPr>
          <w:i/>
          <w:iCs/>
        </w:rPr>
        <w:t xml:space="preserve"> </w:t>
      </w:r>
      <w:r>
        <w:t>were specified:</w:t>
      </w:r>
    </w:p>
    <w:tbl>
      <w:tblPr>
        <w:tblW w:w="9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3"/>
      </w:tblGrid>
      <w:tr w:rsidR="00343A6C" w:rsidRPr="00F10B4F" w14:paraId="2ADBEFA7" w14:textId="77777777" w:rsidTr="00343A6C">
        <w:trPr>
          <w:trHeight w:val="406"/>
        </w:trPr>
        <w:tc>
          <w:tcPr>
            <w:tcW w:w="9593" w:type="dxa"/>
            <w:tcBorders>
              <w:top w:val="single" w:sz="4" w:space="0" w:color="auto"/>
              <w:left w:val="single" w:sz="4" w:space="0" w:color="auto"/>
              <w:bottom w:val="single" w:sz="4" w:space="0" w:color="auto"/>
              <w:right w:val="single" w:sz="4" w:space="0" w:color="auto"/>
            </w:tcBorders>
          </w:tcPr>
          <w:p w14:paraId="44B502BD" w14:textId="77777777" w:rsidR="00343A6C" w:rsidRPr="00F10B4F" w:rsidRDefault="00343A6C" w:rsidP="00C841F9">
            <w:pPr>
              <w:pStyle w:val="TAL"/>
              <w:rPr>
                <w:b/>
                <w:bCs/>
                <w:i/>
                <w:szCs w:val="22"/>
                <w:lang w:eastAsia="en-GB"/>
              </w:rPr>
            </w:pPr>
            <w:r w:rsidRPr="00F10B4F">
              <w:rPr>
                <w:b/>
                <w:bCs/>
                <w:i/>
                <w:szCs w:val="22"/>
                <w:lang w:eastAsia="en-GB"/>
              </w:rPr>
              <w:t>eDRX-AllowedIdle</w:t>
            </w:r>
          </w:p>
          <w:p w14:paraId="6F36F82E" w14:textId="77777777" w:rsidR="00343A6C" w:rsidRPr="00F10B4F" w:rsidRDefault="00343A6C" w:rsidP="00C841F9">
            <w:pPr>
              <w:pStyle w:val="TAL"/>
              <w:rPr>
                <w:b/>
                <w:bCs/>
                <w:i/>
                <w:szCs w:val="22"/>
                <w:lang w:eastAsia="en-GB"/>
              </w:rPr>
            </w:pPr>
            <w:r w:rsidRPr="00F10B4F">
              <w:rPr>
                <w:iCs/>
                <w:szCs w:val="22"/>
                <w:lang w:eastAsia="en-GB"/>
              </w:rPr>
              <w:t xml:space="preserve">The presence of this field indicates that extended DRX for CN paging is allowed in the cell for UEs in RRC_IDLE or RRC_INACTIVE. </w:t>
            </w:r>
            <w:r w:rsidRPr="00F10B4F">
              <w:rPr>
                <w:lang w:eastAsia="en-GB"/>
              </w:rPr>
              <w:t xml:space="preserve">The UE shall stop using extended DRX for CN paging in RRC_IDLE or RRC_INACTIVE if </w:t>
            </w:r>
            <w:r w:rsidRPr="00F10B4F">
              <w:rPr>
                <w:i/>
                <w:lang w:eastAsia="en-GB"/>
              </w:rPr>
              <w:t>eDRX-AllowedIdle</w:t>
            </w:r>
            <w:r w:rsidRPr="00F10B4F">
              <w:rPr>
                <w:lang w:eastAsia="en-GB"/>
              </w:rPr>
              <w:t xml:space="preserve"> is not present.</w:t>
            </w:r>
          </w:p>
        </w:tc>
      </w:tr>
      <w:tr w:rsidR="00343A6C" w:rsidRPr="00F10B4F" w14:paraId="0BB75C11" w14:textId="77777777" w:rsidTr="00343A6C">
        <w:trPr>
          <w:trHeight w:val="406"/>
        </w:trPr>
        <w:tc>
          <w:tcPr>
            <w:tcW w:w="9593" w:type="dxa"/>
            <w:tcBorders>
              <w:top w:val="single" w:sz="4" w:space="0" w:color="auto"/>
              <w:left w:val="single" w:sz="4" w:space="0" w:color="auto"/>
              <w:bottom w:val="single" w:sz="4" w:space="0" w:color="auto"/>
              <w:right w:val="single" w:sz="4" w:space="0" w:color="auto"/>
            </w:tcBorders>
          </w:tcPr>
          <w:p w14:paraId="5285A5B8" w14:textId="77777777" w:rsidR="00343A6C" w:rsidRPr="00F10B4F" w:rsidRDefault="00343A6C" w:rsidP="00C841F9">
            <w:pPr>
              <w:pStyle w:val="TAL"/>
              <w:rPr>
                <w:b/>
                <w:bCs/>
                <w:i/>
                <w:szCs w:val="22"/>
                <w:lang w:eastAsia="en-GB"/>
              </w:rPr>
            </w:pPr>
            <w:r w:rsidRPr="00F10B4F">
              <w:rPr>
                <w:b/>
                <w:bCs/>
                <w:i/>
                <w:szCs w:val="22"/>
                <w:lang w:eastAsia="en-GB"/>
              </w:rPr>
              <w:t>eDRX-AllowedInactive</w:t>
            </w:r>
          </w:p>
          <w:p w14:paraId="6C336BB1" w14:textId="77777777" w:rsidR="00343A6C" w:rsidRPr="00F10B4F" w:rsidRDefault="00343A6C" w:rsidP="00C841F9">
            <w:pPr>
              <w:pStyle w:val="TAL"/>
              <w:rPr>
                <w:b/>
                <w:bCs/>
                <w:i/>
                <w:szCs w:val="22"/>
                <w:lang w:eastAsia="en-GB"/>
              </w:rPr>
            </w:pPr>
            <w:r w:rsidRPr="00F10B4F">
              <w:rPr>
                <w:iCs/>
                <w:szCs w:val="22"/>
                <w:lang w:eastAsia="en-GB"/>
              </w:rPr>
              <w:t xml:space="preserve">The presence of this field indicates that extended DRX for RAN paging is allowed in the cell for UEs in RRC_INACTIVE. The UE shall stop using extended DRX for RAN paging in RRC_INACTIVE if </w:t>
            </w:r>
            <w:r w:rsidRPr="00F10B4F">
              <w:rPr>
                <w:i/>
                <w:szCs w:val="22"/>
                <w:lang w:eastAsia="en-GB"/>
              </w:rPr>
              <w:t>eDRX-AllowedInactive</w:t>
            </w:r>
            <w:r w:rsidRPr="00F10B4F">
              <w:rPr>
                <w:iCs/>
                <w:szCs w:val="22"/>
                <w:lang w:eastAsia="en-GB"/>
              </w:rPr>
              <w:t xml:space="preserve"> is not present.</w:t>
            </w:r>
          </w:p>
        </w:tc>
      </w:tr>
    </w:tbl>
    <w:p w14:paraId="35A588D6" w14:textId="0D98BBFB" w:rsidR="00343A6C" w:rsidRDefault="00343A6C" w:rsidP="009339CB"/>
    <w:p w14:paraId="37703A44" w14:textId="2B34F4B2" w:rsidR="005362F8" w:rsidRDefault="005362F8" w:rsidP="009339CB">
      <w:r>
        <w:t xml:space="preserve">We think that </w:t>
      </w:r>
      <w:r w:rsidR="007F16B4">
        <w:t xml:space="preserve">it would be simplest to follow the </w:t>
      </w:r>
      <w:r>
        <w:t xml:space="preserve">same approach than in R17 for </w:t>
      </w:r>
      <w:r w:rsidRPr="005362F8">
        <w:t>the enhanced INACTIVE eDRX cycle</w:t>
      </w:r>
      <w:r>
        <w:t xml:space="preserve">. </w:t>
      </w:r>
    </w:p>
    <w:p w14:paraId="5D60B825" w14:textId="5F0D4E33" w:rsidR="001C370E" w:rsidRDefault="005362F8" w:rsidP="009339CB">
      <w:pPr>
        <w:rPr>
          <w:b/>
          <w:bCs/>
        </w:rPr>
      </w:pPr>
      <w:r w:rsidRPr="005362F8">
        <w:rPr>
          <w:b/>
          <w:bCs/>
        </w:rPr>
        <w:t xml:space="preserve">Proposal 1: The UE shall stop using </w:t>
      </w:r>
      <w:r w:rsidRPr="001F168C">
        <w:rPr>
          <w:b/>
          <w:bCs/>
        </w:rPr>
        <w:t xml:space="preserve">the </w:t>
      </w:r>
      <w:r w:rsidR="007F16B4" w:rsidRPr="001F168C">
        <w:rPr>
          <w:b/>
          <w:bCs/>
        </w:rPr>
        <w:t>“</w:t>
      </w:r>
      <w:r w:rsidR="001F168C" w:rsidRPr="001F168C">
        <w:rPr>
          <w:b/>
          <w:bCs/>
        </w:rPr>
        <w:t>INACTIVE eDRX &gt; 10.24s</w:t>
      </w:r>
      <w:r w:rsidR="007F16B4" w:rsidRPr="001F168C">
        <w:rPr>
          <w:b/>
          <w:bCs/>
        </w:rPr>
        <w:t>”</w:t>
      </w:r>
      <w:r w:rsidRPr="005362F8">
        <w:rPr>
          <w:b/>
          <w:bCs/>
        </w:rPr>
        <w:t xml:space="preserve"> for RAN paging in RRC_INACTIVE if </w:t>
      </w:r>
      <w:r w:rsidR="007F16B4" w:rsidRPr="005362F8">
        <w:rPr>
          <w:b/>
          <w:bCs/>
        </w:rPr>
        <w:t xml:space="preserve">the </w:t>
      </w:r>
      <w:r w:rsidR="007F16B4">
        <w:rPr>
          <w:b/>
          <w:bCs/>
        </w:rPr>
        <w:t>“</w:t>
      </w:r>
      <w:r w:rsidR="001F168C" w:rsidRPr="001F168C">
        <w:rPr>
          <w:b/>
          <w:bCs/>
        </w:rPr>
        <w:t>INACTIVE eDRX &gt; 10.24s</w:t>
      </w:r>
      <w:r w:rsidR="001F168C">
        <w:rPr>
          <w:b/>
          <w:bCs/>
        </w:rPr>
        <w:t xml:space="preserve"> allowed</w:t>
      </w:r>
      <w:r w:rsidR="007F16B4">
        <w:rPr>
          <w:b/>
          <w:bCs/>
        </w:rPr>
        <w:t xml:space="preserve">” </w:t>
      </w:r>
      <w:r w:rsidRPr="005362F8">
        <w:rPr>
          <w:b/>
          <w:bCs/>
        </w:rPr>
        <w:t>is not present</w:t>
      </w:r>
      <w:r w:rsidR="007F16B4">
        <w:rPr>
          <w:b/>
          <w:bCs/>
        </w:rPr>
        <w:t xml:space="preserve"> in the system information</w:t>
      </w:r>
      <w:r w:rsidRPr="005362F8">
        <w:rPr>
          <w:b/>
          <w:bCs/>
        </w:rPr>
        <w:t>.</w:t>
      </w:r>
      <w:r w:rsidR="007F16B4">
        <w:rPr>
          <w:b/>
          <w:bCs/>
        </w:rPr>
        <w:t xml:space="preserve"> </w:t>
      </w:r>
    </w:p>
    <w:p w14:paraId="2FB36177" w14:textId="22BDED7D" w:rsidR="005362F8" w:rsidRPr="005362F8" w:rsidRDefault="001C370E" w:rsidP="009339CB">
      <w:pPr>
        <w:rPr>
          <w:b/>
          <w:bCs/>
        </w:rPr>
      </w:pPr>
      <w:r>
        <w:rPr>
          <w:b/>
          <w:bCs/>
        </w:rPr>
        <w:t>Proposal 2: The UE configured with</w:t>
      </w:r>
      <w:r w:rsidRPr="001F168C">
        <w:rPr>
          <w:b/>
          <w:bCs/>
        </w:rPr>
        <w:t xml:space="preserve"> “</w:t>
      </w:r>
      <w:r w:rsidR="001F168C" w:rsidRPr="001F168C">
        <w:rPr>
          <w:b/>
          <w:bCs/>
        </w:rPr>
        <w:t>INACTIVE eDRX &gt; 10.24s</w:t>
      </w:r>
      <w:r>
        <w:rPr>
          <w:b/>
          <w:bCs/>
        </w:rPr>
        <w:t>”</w:t>
      </w:r>
      <w:r w:rsidRPr="005362F8">
        <w:rPr>
          <w:b/>
          <w:bCs/>
        </w:rPr>
        <w:t xml:space="preserve"> </w:t>
      </w:r>
      <w:r w:rsidR="007F16B4">
        <w:rPr>
          <w:b/>
          <w:bCs/>
        </w:rPr>
        <w:t>monitors paging according to DRX cycle</w:t>
      </w:r>
      <w:r>
        <w:rPr>
          <w:b/>
          <w:bCs/>
        </w:rPr>
        <w:t xml:space="preserve"> in case </w:t>
      </w:r>
      <w:r w:rsidRPr="005362F8">
        <w:rPr>
          <w:b/>
          <w:bCs/>
        </w:rPr>
        <w:t xml:space="preserve">the </w:t>
      </w:r>
      <w:r w:rsidR="001F168C">
        <w:rPr>
          <w:b/>
          <w:bCs/>
        </w:rPr>
        <w:t>“</w:t>
      </w:r>
      <w:r w:rsidR="001F168C" w:rsidRPr="001F168C">
        <w:rPr>
          <w:b/>
          <w:bCs/>
        </w:rPr>
        <w:t>INACTIVE eDRX &gt; 10.24s</w:t>
      </w:r>
      <w:r w:rsidR="001F168C">
        <w:rPr>
          <w:b/>
          <w:bCs/>
        </w:rPr>
        <w:t xml:space="preserve"> allowed” </w:t>
      </w:r>
      <w:r w:rsidRPr="005362F8">
        <w:rPr>
          <w:b/>
          <w:bCs/>
        </w:rPr>
        <w:t>is not present</w:t>
      </w:r>
      <w:r>
        <w:rPr>
          <w:b/>
          <w:bCs/>
        </w:rPr>
        <w:t xml:space="preserve"> in the system information</w:t>
      </w:r>
    </w:p>
    <w:p w14:paraId="2A42750A" w14:textId="77C0A3A4" w:rsidR="001C370E" w:rsidRDefault="001C370E" w:rsidP="009339CB"/>
    <w:p w14:paraId="3452CAC8" w14:textId="77777777" w:rsidR="002E6926" w:rsidRPr="001C370E" w:rsidRDefault="002E6926" w:rsidP="009339CB"/>
    <w:p w14:paraId="69B7B8E6" w14:textId="445C5C44" w:rsidR="009339CB" w:rsidRDefault="005A13AB" w:rsidP="009339CB">
      <w:pPr>
        <w:pStyle w:val="Heading1"/>
      </w:pPr>
      <w:r>
        <w:t>3</w:t>
      </w:r>
      <w:r w:rsidR="009339CB" w:rsidRPr="006E13D1">
        <w:tab/>
      </w:r>
      <w:r w:rsidR="009339CB">
        <w:t>Conclusion</w:t>
      </w:r>
    </w:p>
    <w:p w14:paraId="2DCD5FBF" w14:textId="04DB60FA" w:rsidR="002932F5" w:rsidRDefault="002932F5" w:rsidP="000118E1">
      <w:r w:rsidRPr="002932F5">
        <w:t>Based on the discussion following is proposed:</w:t>
      </w:r>
    </w:p>
    <w:p w14:paraId="51F43694" w14:textId="77777777" w:rsidR="002E6926" w:rsidRDefault="002E6926" w:rsidP="002E6926">
      <w:pPr>
        <w:rPr>
          <w:b/>
          <w:bCs/>
        </w:rPr>
      </w:pPr>
      <w:r w:rsidRPr="005362F8">
        <w:rPr>
          <w:b/>
          <w:bCs/>
        </w:rPr>
        <w:t xml:space="preserve">Proposal 1: The UE shall stop using </w:t>
      </w:r>
      <w:r w:rsidRPr="001F168C">
        <w:rPr>
          <w:b/>
          <w:bCs/>
        </w:rPr>
        <w:t>the “INACTIVE eDRX &gt; 10.24s”</w:t>
      </w:r>
      <w:r w:rsidRPr="005362F8">
        <w:rPr>
          <w:b/>
          <w:bCs/>
        </w:rPr>
        <w:t xml:space="preserve"> for RAN paging in RRC_INACTIVE if the </w:t>
      </w:r>
      <w:r>
        <w:rPr>
          <w:b/>
          <w:bCs/>
        </w:rPr>
        <w:t>“</w:t>
      </w:r>
      <w:r w:rsidRPr="001F168C">
        <w:rPr>
          <w:b/>
          <w:bCs/>
        </w:rPr>
        <w:t>INACTIVE eDRX &gt; 10.24s</w:t>
      </w:r>
      <w:r>
        <w:rPr>
          <w:b/>
          <w:bCs/>
        </w:rPr>
        <w:t xml:space="preserve"> allowed” </w:t>
      </w:r>
      <w:r w:rsidRPr="005362F8">
        <w:rPr>
          <w:b/>
          <w:bCs/>
        </w:rPr>
        <w:t>is not present</w:t>
      </w:r>
      <w:r>
        <w:rPr>
          <w:b/>
          <w:bCs/>
        </w:rPr>
        <w:t xml:space="preserve"> in the system information</w:t>
      </w:r>
      <w:r w:rsidRPr="005362F8">
        <w:rPr>
          <w:b/>
          <w:bCs/>
        </w:rPr>
        <w:t>.</w:t>
      </w:r>
      <w:r>
        <w:rPr>
          <w:b/>
          <w:bCs/>
        </w:rPr>
        <w:t xml:space="preserve"> </w:t>
      </w:r>
    </w:p>
    <w:p w14:paraId="20DEA502" w14:textId="77777777" w:rsidR="002E6926" w:rsidRPr="005362F8" w:rsidRDefault="002E6926" w:rsidP="002E6926">
      <w:pPr>
        <w:rPr>
          <w:b/>
          <w:bCs/>
        </w:rPr>
      </w:pPr>
      <w:r>
        <w:rPr>
          <w:b/>
          <w:bCs/>
        </w:rPr>
        <w:t>Proposal 2: The UE configured with</w:t>
      </w:r>
      <w:r w:rsidRPr="001F168C">
        <w:rPr>
          <w:b/>
          <w:bCs/>
        </w:rPr>
        <w:t xml:space="preserve"> “INACTIVE eDRX &gt; 10.24s</w:t>
      </w:r>
      <w:r>
        <w:rPr>
          <w:b/>
          <w:bCs/>
        </w:rPr>
        <w:t>”</w:t>
      </w:r>
      <w:r w:rsidRPr="005362F8">
        <w:rPr>
          <w:b/>
          <w:bCs/>
        </w:rPr>
        <w:t xml:space="preserve"> </w:t>
      </w:r>
      <w:r>
        <w:rPr>
          <w:b/>
          <w:bCs/>
        </w:rPr>
        <w:t xml:space="preserve">monitors paging according to DRX cycle in case </w:t>
      </w:r>
      <w:r w:rsidRPr="005362F8">
        <w:rPr>
          <w:b/>
          <w:bCs/>
        </w:rPr>
        <w:t xml:space="preserve">the </w:t>
      </w:r>
      <w:r>
        <w:rPr>
          <w:b/>
          <w:bCs/>
        </w:rPr>
        <w:t>“</w:t>
      </w:r>
      <w:r w:rsidRPr="001F168C">
        <w:rPr>
          <w:b/>
          <w:bCs/>
        </w:rPr>
        <w:t>INACTIVE eDRX &gt; 10.24s</w:t>
      </w:r>
      <w:r>
        <w:rPr>
          <w:b/>
          <w:bCs/>
        </w:rPr>
        <w:t xml:space="preserve"> allowed” </w:t>
      </w:r>
      <w:r w:rsidRPr="005362F8">
        <w:rPr>
          <w:b/>
          <w:bCs/>
        </w:rPr>
        <w:t>is not present</w:t>
      </w:r>
      <w:r>
        <w:rPr>
          <w:b/>
          <w:bCs/>
        </w:rPr>
        <w:t xml:space="preserve"> in the system information</w:t>
      </w:r>
    </w:p>
    <w:p w14:paraId="6F23F829" w14:textId="77777777" w:rsidR="002E6926" w:rsidRPr="002932F5" w:rsidRDefault="002E6926" w:rsidP="000118E1"/>
    <w:p w14:paraId="264C6636" w14:textId="77777777" w:rsidR="000118E1" w:rsidRPr="000118E1" w:rsidRDefault="000118E1" w:rsidP="000118E1"/>
    <w:sectPr w:rsidR="000118E1" w:rsidRPr="000118E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AF531" w14:textId="77777777" w:rsidR="005427E3" w:rsidRDefault="005427E3">
      <w:r>
        <w:separator/>
      </w:r>
    </w:p>
  </w:endnote>
  <w:endnote w:type="continuationSeparator" w:id="0">
    <w:p w14:paraId="44E7417C" w14:textId="77777777" w:rsidR="005427E3" w:rsidRDefault="005427E3">
      <w:r>
        <w:continuationSeparator/>
      </w:r>
    </w:p>
  </w:endnote>
  <w:endnote w:type="continuationNotice" w:id="1">
    <w:p w14:paraId="74432C36" w14:textId="77777777" w:rsidR="005427E3" w:rsidRDefault="005427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68B98" w14:textId="77777777" w:rsidR="005427E3" w:rsidRDefault="005427E3">
      <w:r>
        <w:separator/>
      </w:r>
    </w:p>
  </w:footnote>
  <w:footnote w:type="continuationSeparator" w:id="0">
    <w:p w14:paraId="61740518" w14:textId="77777777" w:rsidR="005427E3" w:rsidRDefault="005427E3">
      <w:r>
        <w:continuationSeparator/>
      </w:r>
    </w:p>
  </w:footnote>
  <w:footnote w:type="continuationNotice" w:id="1">
    <w:p w14:paraId="47CDB6C0" w14:textId="77777777" w:rsidR="005427E3" w:rsidRDefault="005427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182985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8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0982500">
    <w:abstractNumId w:val="1"/>
  </w:num>
  <w:num w:numId="4" w16cid:durableId="887763426">
    <w:abstractNumId w:val="4"/>
  </w:num>
  <w:num w:numId="5" w16cid:durableId="1624924013">
    <w:abstractNumId w:val="3"/>
  </w:num>
  <w:num w:numId="6" w16cid:durableId="1142847486">
    <w:abstractNumId w:val="5"/>
  </w:num>
  <w:num w:numId="7" w16cid:durableId="184946322">
    <w:abstractNumId w:val="6"/>
  </w:num>
  <w:num w:numId="8" w16cid:durableId="1821724129">
    <w:abstractNumId w:val="12"/>
  </w:num>
  <w:num w:numId="9" w16cid:durableId="1802184953">
    <w:abstractNumId w:val="10"/>
  </w:num>
  <w:num w:numId="10" w16cid:durableId="1121071325">
    <w:abstractNumId w:val="11"/>
  </w:num>
  <w:num w:numId="11" w16cid:durableId="1471436996">
    <w:abstractNumId w:val="2"/>
  </w:num>
  <w:num w:numId="12" w16cid:durableId="1178272712">
    <w:abstractNumId w:val="7"/>
  </w:num>
  <w:num w:numId="13" w16cid:durableId="1107699877">
    <w:abstractNumId w:val="9"/>
  </w:num>
  <w:num w:numId="14" w16cid:durableId="13610534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8E1"/>
    <w:rsid w:val="00016557"/>
    <w:rsid w:val="00023C40"/>
    <w:rsid w:val="00033397"/>
    <w:rsid w:val="00040095"/>
    <w:rsid w:val="000515F0"/>
    <w:rsid w:val="00051F26"/>
    <w:rsid w:val="0006415C"/>
    <w:rsid w:val="00065268"/>
    <w:rsid w:val="00073C9C"/>
    <w:rsid w:val="00075AA9"/>
    <w:rsid w:val="00076412"/>
    <w:rsid w:val="00080512"/>
    <w:rsid w:val="00090468"/>
    <w:rsid w:val="00094568"/>
    <w:rsid w:val="000B7BCF"/>
    <w:rsid w:val="000C522B"/>
    <w:rsid w:val="000D58AB"/>
    <w:rsid w:val="000F6DF3"/>
    <w:rsid w:val="00112350"/>
    <w:rsid w:val="00112F1A"/>
    <w:rsid w:val="00145075"/>
    <w:rsid w:val="00162E17"/>
    <w:rsid w:val="001741A0"/>
    <w:rsid w:val="00175FA0"/>
    <w:rsid w:val="00194CD0"/>
    <w:rsid w:val="0019544B"/>
    <w:rsid w:val="001B49C9"/>
    <w:rsid w:val="001C0BE7"/>
    <w:rsid w:val="001C23F4"/>
    <w:rsid w:val="001C370E"/>
    <w:rsid w:val="001C4F79"/>
    <w:rsid w:val="001C6936"/>
    <w:rsid w:val="001E18FB"/>
    <w:rsid w:val="001F12AD"/>
    <w:rsid w:val="001F168B"/>
    <w:rsid w:val="001F168C"/>
    <w:rsid w:val="001F7831"/>
    <w:rsid w:val="00204045"/>
    <w:rsid w:val="0020712B"/>
    <w:rsid w:val="0022606D"/>
    <w:rsid w:val="00231728"/>
    <w:rsid w:val="00234E61"/>
    <w:rsid w:val="00244A05"/>
    <w:rsid w:val="00250404"/>
    <w:rsid w:val="00256B74"/>
    <w:rsid w:val="002610D8"/>
    <w:rsid w:val="00263B9B"/>
    <w:rsid w:val="002747EC"/>
    <w:rsid w:val="002855BF"/>
    <w:rsid w:val="002932F5"/>
    <w:rsid w:val="002B2988"/>
    <w:rsid w:val="002E0C78"/>
    <w:rsid w:val="002E2757"/>
    <w:rsid w:val="002E6926"/>
    <w:rsid w:val="002F0D22"/>
    <w:rsid w:val="00311B17"/>
    <w:rsid w:val="003172DC"/>
    <w:rsid w:val="00325AE3"/>
    <w:rsid w:val="00326069"/>
    <w:rsid w:val="00343A6C"/>
    <w:rsid w:val="0035462D"/>
    <w:rsid w:val="0036459E"/>
    <w:rsid w:val="00364B41"/>
    <w:rsid w:val="00375654"/>
    <w:rsid w:val="00383096"/>
    <w:rsid w:val="00391C57"/>
    <w:rsid w:val="0039346C"/>
    <w:rsid w:val="003A41EF"/>
    <w:rsid w:val="003B40AD"/>
    <w:rsid w:val="003C2966"/>
    <w:rsid w:val="003C4E37"/>
    <w:rsid w:val="003E16BE"/>
    <w:rsid w:val="003F4E28"/>
    <w:rsid w:val="004006E8"/>
    <w:rsid w:val="00401855"/>
    <w:rsid w:val="00415E40"/>
    <w:rsid w:val="00446C3A"/>
    <w:rsid w:val="004609AD"/>
    <w:rsid w:val="00465587"/>
    <w:rsid w:val="00477455"/>
    <w:rsid w:val="004A1F7B"/>
    <w:rsid w:val="004C44D2"/>
    <w:rsid w:val="004D3578"/>
    <w:rsid w:val="004D380D"/>
    <w:rsid w:val="004E213A"/>
    <w:rsid w:val="004F4540"/>
    <w:rsid w:val="004F73A7"/>
    <w:rsid w:val="00503171"/>
    <w:rsid w:val="00506C28"/>
    <w:rsid w:val="00534DA0"/>
    <w:rsid w:val="005362F8"/>
    <w:rsid w:val="005427E3"/>
    <w:rsid w:val="00543E6C"/>
    <w:rsid w:val="0054680B"/>
    <w:rsid w:val="00565087"/>
    <w:rsid w:val="0056573F"/>
    <w:rsid w:val="00571279"/>
    <w:rsid w:val="005A13AB"/>
    <w:rsid w:val="005A49C6"/>
    <w:rsid w:val="005C766E"/>
    <w:rsid w:val="005C7CD5"/>
    <w:rsid w:val="005D27DE"/>
    <w:rsid w:val="00602507"/>
    <w:rsid w:val="00611566"/>
    <w:rsid w:val="00646D99"/>
    <w:rsid w:val="00650A6E"/>
    <w:rsid w:val="0065159C"/>
    <w:rsid w:val="00656910"/>
    <w:rsid w:val="006574C0"/>
    <w:rsid w:val="0068495B"/>
    <w:rsid w:val="00696821"/>
    <w:rsid w:val="006C66D8"/>
    <w:rsid w:val="006D1E24"/>
    <w:rsid w:val="006D35DE"/>
    <w:rsid w:val="006E1057"/>
    <w:rsid w:val="006E1417"/>
    <w:rsid w:val="006F4D31"/>
    <w:rsid w:val="006F6A2C"/>
    <w:rsid w:val="007069DC"/>
    <w:rsid w:val="00710201"/>
    <w:rsid w:val="0072073A"/>
    <w:rsid w:val="00731857"/>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16B4"/>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C53C9"/>
    <w:rsid w:val="008D2E4D"/>
    <w:rsid w:val="008E37BE"/>
    <w:rsid w:val="008F396F"/>
    <w:rsid w:val="008F3DCD"/>
    <w:rsid w:val="009014A9"/>
    <w:rsid w:val="0090271F"/>
    <w:rsid w:val="00902DB9"/>
    <w:rsid w:val="0090466A"/>
    <w:rsid w:val="00923655"/>
    <w:rsid w:val="009339CB"/>
    <w:rsid w:val="00936071"/>
    <w:rsid w:val="009376CD"/>
    <w:rsid w:val="00940212"/>
    <w:rsid w:val="00942EC2"/>
    <w:rsid w:val="00954261"/>
    <w:rsid w:val="00961B32"/>
    <w:rsid w:val="00962509"/>
    <w:rsid w:val="00970DB3"/>
    <w:rsid w:val="00974BB0"/>
    <w:rsid w:val="00975BCD"/>
    <w:rsid w:val="009818A2"/>
    <w:rsid w:val="009928A9"/>
    <w:rsid w:val="009A0AF3"/>
    <w:rsid w:val="009B07CD"/>
    <w:rsid w:val="009C19E9"/>
    <w:rsid w:val="009D74A6"/>
    <w:rsid w:val="009E0E87"/>
    <w:rsid w:val="009E33DA"/>
    <w:rsid w:val="00A10F02"/>
    <w:rsid w:val="00A17176"/>
    <w:rsid w:val="00A204CA"/>
    <w:rsid w:val="00A209D6"/>
    <w:rsid w:val="00A22738"/>
    <w:rsid w:val="00A259F4"/>
    <w:rsid w:val="00A36F5F"/>
    <w:rsid w:val="00A430EC"/>
    <w:rsid w:val="00A53724"/>
    <w:rsid w:val="00A54B2B"/>
    <w:rsid w:val="00A703B6"/>
    <w:rsid w:val="00A82346"/>
    <w:rsid w:val="00A9671C"/>
    <w:rsid w:val="00AA1553"/>
    <w:rsid w:val="00B05380"/>
    <w:rsid w:val="00B05962"/>
    <w:rsid w:val="00B15449"/>
    <w:rsid w:val="00B16C2F"/>
    <w:rsid w:val="00B20078"/>
    <w:rsid w:val="00B27303"/>
    <w:rsid w:val="00B321EF"/>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CF31B5"/>
    <w:rsid w:val="00D00043"/>
    <w:rsid w:val="00D208AF"/>
    <w:rsid w:val="00D33BE3"/>
    <w:rsid w:val="00D3792D"/>
    <w:rsid w:val="00D54820"/>
    <w:rsid w:val="00D55E47"/>
    <w:rsid w:val="00D62E19"/>
    <w:rsid w:val="00D67CD1"/>
    <w:rsid w:val="00D70205"/>
    <w:rsid w:val="00D738D6"/>
    <w:rsid w:val="00D80322"/>
    <w:rsid w:val="00D80795"/>
    <w:rsid w:val="00D854BE"/>
    <w:rsid w:val="00D87E00"/>
    <w:rsid w:val="00D9134D"/>
    <w:rsid w:val="00D96D11"/>
    <w:rsid w:val="00DA7A03"/>
    <w:rsid w:val="00DB0DB8"/>
    <w:rsid w:val="00DB1818"/>
    <w:rsid w:val="00DC309B"/>
    <w:rsid w:val="00DC4DA2"/>
    <w:rsid w:val="00DC5261"/>
    <w:rsid w:val="00DE25D2"/>
    <w:rsid w:val="00DF7C20"/>
    <w:rsid w:val="00E02BF1"/>
    <w:rsid w:val="00E038FB"/>
    <w:rsid w:val="00E3746B"/>
    <w:rsid w:val="00E46C08"/>
    <w:rsid w:val="00E471CF"/>
    <w:rsid w:val="00E51EFC"/>
    <w:rsid w:val="00E62835"/>
    <w:rsid w:val="00E77645"/>
    <w:rsid w:val="00E83697"/>
    <w:rsid w:val="00E859B6"/>
    <w:rsid w:val="00EA66C9"/>
    <w:rsid w:val="00EB5D32"/>
    <w:rsid w:val="00EC4A25"/>
    <w:rsid w:val="00EF051E"/>
    <w:rsid w:val="00EF612C"/>
    <w:rsid w:val="00F025A2"/>
    <w:rsid w:val="00F036E9"/>
    <w:rsid w:val="00F07388"/>
    <w:rsid w:val="00F2026E"/>
    <w:rsid w:val="00F2210A"/>
    <w:rsid w:val="00F31372"/>
    <w:rsid w:val="00F37743"/>
    <w:rsid w:val="00F54A3D"/>
    <w:rsid w:val="00F54CB0"/>
    <w:rsid w:val="00F579CD"/>
    <w:rsid w:val="00F60E85"/>
    <w:rsid w:val="00F653B8"/>
    <w:rsid w:val="00F71B89"/>
    <w:rsid w:val="00F7353C"/>
    <w:rsid w:val="00F76F8F"/>
    <w:rsid w:val="00F87257"/>
    <w:rsid w:val="00F941DF"/>
    <w:rsid w:val="00FA1266"/>
    <w:rsid w:val="00FB36FA"/>
    <w:rsid w:val="00FC1192"/>
    <w:rsid w:val="00FE106D"/>
    <w:rsid w:val="00FE251B"/>
    <w:rsid w:val="00FF50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E02BF1"/>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E02BF1"/>
    <w:rPr>
      <w:rFonts w:eastAsia="SimSun"/>
      <w:lang w:eastAsia="en-US"/>
    </w:rPr>
  </w:style>
  <w:style w:type="table" w:styleId="TableGrid">
    <w:name w:val="Table Grid"/>
    <w:basedOn w:val="TableNormal"/>
    <w:rsid w:val="000118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C0BE7"/>
    <w:rPr>
      <w:rFonts w:ascii="Courier New" w:hAnsi="Courier New"/>
      <w:noProof/>
      <w:sz w:val="16"/>
      <w:lang w:eastAsia="en-US"/>
    </w:rPr>
  </w:style>
  <w:style w:type="character" w:customStyle="1" w:styleId="TALCar">
    <w:name w:val="TAL Car"/>
    <w:link w:val="TAL"/>
    <w:qFormat/>
    <w:rsid w:val="001C0BE7"/>
    <w:rPr>
      <w:rFonts w:ascii="Arial" w:hAnsi="Arial"/>
      <w:sz w:val="18"/>
      <w:lang w:eastAsia="en-US"/>
    </w:rPr>
  </w:style>
  <w:style w:type="character" w:customStyle="1" w:styleId="TAHCar">
    <w:name w:val="TAH Car"/>
    <w:link w:val="TAH"/>
    <w:qFormat/>
    <w:locked/>
    <w:rsid w:val="001C0BE7"/>
    <w:rPr>
      <w:rFonts w:ascii="Arial" w:hAnsi="Arial"/>
      <w:b/>
      <w:sz w:val="18"/>
      <w:lang w:eastAsia="en-US"/>
    </w:rPr>
  </w:style>
  <w:style w:type="character" w:styleId="FollowedHyperlink">
    <w:name w:val="FollowedHyperlink"/>
    <w:basedOn w:val="DefaultParagraphFont"/>
    <w:rsid w:val="005D27DE"/>
    <w:rPr>
      <w:color w:val="954F72" w:themeColor="followedHyperlink"/>
      <w:u w:val="single"/>
    </w:rPr>
  </w:style>
  <w:style w:type="character" w:customStyle="1" w:styleId="B1Zchn">
    <w:name w:val="B1 Zchn"/>
    <w:link w:val="B1"/>
    <w:qFormat/>
    <w:rsid w:val="005D27DE"/>
    <w:rPr>
      <w:lang w:eastAsia="en-US"/>
    </w:rPr>
  </w:style>
  <w:style w:type="character" w:customStyle="1" w:styleId="B2Char">
    <w:name w:val="B2 Char"/>
    <w:link w:val="B2"/>
    <w:qFormat/>
    <w:rsid w:val="005D27DE"/>
    <w:rPr>
      <w:lang w:eastAsia="en-US"/>
    </w:rPr>
  </w:style>
  <w:style w:type="paragraph" w:customStyle="1" w:styleId="Doc-text2">
    <w:name w:val="Doc-text2"/>
    <w:basedOn w:val="Normal"/>
    <w:link w:val="Doc-text2Char"/>
    <w:qFormat/>
    <w:rsid w:val="005D27DE"/>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5D27DE"/>
    <w:rPr>
      <w:rFonts w:ascii="Arial" w:hAnsi="Arial"/>
      <w:lang w:eastAsia="ja-JP"/>
    </w:rPr>
  </w:style>
  <w:style w:type="paragraph" w:customStyle="1" w:styleId="Comments">
    <w:name w:val="Comments"/>
    <w:basedOn w:val="Normal"/>
    <w:link w:val="CommentsChar"/>
    <w:qFormat/>
    <w:rsid w:val="00E51EFC"/>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E51EFC"/>
    <w:rPr>
      <w:rFonts w:ascii="Arial" w:eastAsia="MS Mincho" w:hAnsi="Arial"/>
      <w:i/>
      <w:noProof/>
      <w:sz w:val="18"/>
      <w:szCs w:val="24"/>
    </w:rPr>
  </w:style>
  <w:style w:type="paragraph" w:customStyle="1" w:styleId="Agreement">
    <w:name w:val="Agreement"/>
    <w:basedOn w:val="Normal"/>
    <w:next w:val="Doc-text2"/>
    <w:uiPriority w:val="99"/>
    <w:qFormat/>
    <w:rsid w:val="00234E61"/>
    <w:pPr>
      <w:numPr>
        <w:numId w:val="14"/>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7e/Docs/RP-223544.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5AIRPNAIUNRU-859666464-13409</_dlc_DocId>
    <_dlc_DocIdUrl xmlns="71c5aaf6-e6ce-465b-b873-5148d2a4c105">
      <Url>https://nokia.sharepoint.com/sites/c5g/e2earch/_layouts/15/DocIdRedir.aspx?ID=5AIRPNAIUNRU-859666464-13409</Url>
      <Description>5AIRPNAIUNRU-859666464-13409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www.w3.org/XML/1998/namespace"/>
    <ds:schemaRef ds:uri="http://schemas.openxmlformats.org/package/2006/metadata/core-properties"/>
    <ds:schemaRef ds:uri="http://purl.org/dc/elements/1.1/"/>
    <ds:schemaRef ds:uri="71c5aaf6-e6ce-465b-b873-5148d2a4c105"/>
    <ds:schemaRef ds:uri="http://purl.org/dc/dcmitype/"/>
    <ds:schemaRef ds:uri="http://schemas.microsoft.com/office/2006/documentManagement/types"/>
    <ds:schemaRef ds:uri="http://schemas.microsoft.com/office/infopath/2007/PartnerControls"/>
    <ds:schemaRef ds:uri="83f22d2f-d16e-4be6-ad4f-29fa0b067c3c"/>
    <ds:schemaRef ds:uri="3b34c8f0-1ef5-4d1e-bb66-517ce7fe7356"/>
    <ds:schemaRef ds:uri="a3840f4f-04be-43d1-b2ef-6ff1382503c7"/>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CAF37CA0-9922-4980-B87E-80A07A0A4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679</Words>
  <Characters>3341</Characters>
  <Application>Microsoft Office Word</Application>
  <DocSecurity>0</DocSecurity>
  <Lines>27</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4012</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Jussi</cp:lastModifiedBy>
  <cp:revision>22</cp:revision>
  <dcterms:created xsi:type="dcterms:W3CDTF">2023-02-16T13:39:00Z</dcterms:created>
  <dcterms:modified xsi:type="dcterms:W3CDTF">2023-04-05T12:29:00Z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30478795-a196-4025-ba7e-3276d90ade11</vt:lpwstr>
  </property>
</Properties>
</file>